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center"/>
        <w:textAlignment w:val="baseline"/>
        <w:rPr>
          <w:rFonts w:ascii="仿宋_GB2312" w:eastAsia="仿宋_GB2312" w:cs="仿宋_GB2312"/>
          <w:color w:val="616161"/>
          <w:sz w:val="31"/>
          <w:szCs w:val="31"/>
          <w:bdr w:val="none" w:color="auto" w:sz="0" w:space="0"/>
          <w:vertAlign w:val="baseline"/>
        </w:rPr>
      </w:pPr>
      <w:bookmarkStart w:id="0" w:name="_GoBack"/>
      <w:r>
        <w:rPr>
          <w:rFonts w:hint="eastAsia" w:ascii="方正小标宋简体" w:hAnsi="方正小标宋简体" w:eastAsia="方正小标宋简体" w:cs="方正小标宋简体"/>
          <w:color w:val="616161"/>
          <w:sz w:val="44"/>
          <w:szCs w:val="44"/>
          <w:bdr w:val="none" w:color="auto" w:sz="0" w:space="0"/>
          <w:vertAlign w:val="baseline"/>
        </w:rPr>
        <w:t>东丽区国资委关于调整《东丽区国资委出资人监管权责清单》的通知</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rPr>
          <w:rFonts w:ascii="仿宋_GB2312" w:eastAsia="仿宋_GB2312" w:cs="仿宋_GB2312"/>
          <w:color w:val="616161"/>
          <w:sz w:val="31"/>
          <w:szCs w:val="31"/>
          <w:bdr w:val="none" w:color="auto" w:sz="0" w:space="0"/>
          <w:vertAlign w:val="baseli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pPr>
      <w:r>
        <w:rPr>
          <w:rFonts w:ascii="仿宋_GB2312" w:eastAsia="仿宋_GB2312" w:cs="仿宋_GB2312"/>
          <w:color w:val="616161"/>
          <w:sz w:val="31"/>
          <w:szCs w:val="31"/>
          <w:bdr w:val="none" w:color="auto" w:sz="0" w:space="0"/>
          <w:vertAlign w:val="baseline"/>
        </w:rPr>
        <w:t>各区管企业、各企业主管部门：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firstLine="645"/>
        <w:jc w:val="both"/>
        <w:textAlignment w:val="baseline"/>
      </w:pPr>
      <w:r>
        <w:rPr>
          <w:rFonts w:hint="eastAsia" w:ascii="仿宋_GB2312" w:eastAsia="仿宋_GB2312" w:cs="仿宋_GB2312"/>
          <w:color w:val="616161"/>
          <w:sz w:val="31"/>
          <w:szCs w:val="31"/>
          <w:bdr w:val="none" w:color="auto" w:sz="0" w:space="0"/>
          <w:vertAlign w:val="baseline"/>
        </w:rPr>
        <w:t>以管资本为主加强国有资产监管，推动国有企业完善中国特色现代企业制度，根据国资监管制度修改情况，区国资委决定对津丽国资〔</w:t>
      </w:r>
      <w:r>
        <w:rPr>
          <w:rFonts w:hint="default" w:ascii="Times New Roman" w:hAnsi="Times New Roman" w:cs="Times New Roman"/>
          <w:color w:val="616161"/>
          <w:sz w:val="31"/>
          <w:szCs w:val="31"/>
          <w:bdr w:val="none" w:color="auto" w:sz="0" w:space="0"/>
          <w:vertAlign w:val="baseline"/>
        </w:rPr>
        <w:t>2021</w:t>
      </w:r>
      <w:r>
        <w:rPr>
          <w:rFonts w:hint="eastAsia" w:ascii="仿宋_GB2312" w:eastAsia="仿宋_GB2312" w:cs="仿宋_GB2312"/>
          <w:color w:val="616161"/>
          <w:sz w:val="31"/>
          <w:szCs w:val="31"/>
          <w:bdr w:val="none" w:color="auto" w:sz="0" w:space="0"/>
          <w:vertAlign w:val="baseline"/>
        </w:rPr>
        <w:t>〕</w:t>
      </w:r>
      <w:r>
        <w:rPr>
          <w:rFonts w:hint="default" w:ascii="Times New Roman" w:hAnsi="Times New Roman" w:cs="Times New Roman"/>
          <w:color w:val="616161"/>
          <w:sz w:val="31"/>
          <w:szCs w:val="31"/>
          <w:bdr w:val="none" w:color="auto" w:sz="0" w:space="0"/>
          <w:vertAlign w:val="baseline"/>
        </w:rPr>
        <w:t>13</w:t>
      </w:r>
      <w:r>
        <w:rPr>
          <w:rFonts w:hint="eastAsia" w:ascii="仿宋_GB2312" w:eastAsia="仿宋_GB2312" w:cs="仿宋_GB2312"/>
          <w:color w:val="616161"/>
          <w:sz w:val="31"/>
          <w:szCs w:val="31"/>
          <w:bdr w:val="none" w:color="auto" w:sz="0" w:space="0"/>
          <w:vertAlign w:val="baseline"/>
        </w:rPr>
        <w:t>号文件印发的《东丽区国资委出资人监管权责清单》进行调整，已经区国资委党委会议审议通过，主要调整内容如下：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firstLine="645"/>
        <w:jc w:val="both"/>
        <w:textAlignment w:val="baseline"/>
      </w:pPr>
      <w:r>
        <w:rPr>
          <w:rFonts w:hint="eastAsia" w:ascii="仿宋_GB2312" w:eastAsia="仿宋_GB2312" w:cs="仿宋_GB2312"/>
          <w:color w:val="616161"/>
          <w:sz w:val="31"/>
          <w:szCs w:val="31"/>
          <w:bdr w:val="none" w:color="auto" w:sz="0" w:space="0"/>
          <w:vertAlign w:val="baseline"/>
        </w:rPr>
        <w:t>在《东丽区国资委出资人监管权责清单》</w:t>
      </w:r>
      <w:r>
        <w:rPr>
          <w:rFonts w:ascii="Calibri" w:hAnsi="Calibri" w:eastAsia="仿宋_GB2312" w:cs="Calibri"/>
          <w:color w:val="616161"/>
          <w:sz w:val="31"/>
          <w:szCs w:val="31"/>
          <w:bdr w:val="none" w:color="auto" w:sz="0" w:space="0"/>
          <w:vertAlign w:val="baseline"/>
        </w:rPr>
        <w:t>“</w:t>
      </w:r>
      <w:r>
        <w:rPr>
          <w:rFonts w:hint="eastAsia" w:ascii="仿宋_GB2312" w:eastAsia="仿宋_GB2312" w:cs="仿宋_GB2312"/>
          <w:color w:val="616161"/>
          <w:sz w:val="31"/>
          <w:szCs w:val="31"/>
          <w:bdr w:val="none" w:color="auto" w:sz="0" w:space="0"/>
          <w:vertAlign w:val="baseline"/>
        </w:rPr>
        <w:t>审核、核准、事前备案事项</w:t>
      </w:r>
      <w:r>
        <w:rPr>
          <w:rFonts w:hint="default" w:ascii="Calibri" w:hAnsi="Calibri" w:eastAsia="仿宋_GB2312" w:cs="Calibri"/>
          <w:color w:val="616161"/>
          <w:sz w:val="31"/>
          <w:szCs w:val="31"/>
          <w:bdr w:val="none" w:color="auto" w:sz="0" w:space="0"/>
          <w:vertAlign w:val="baseline"/>
        </w:rPr>
        <w:t>”</w:t>
      </w:r>
      <w:r>
        <w:rPr>
          <w:rFonts w:hint="eastAsia" w:ascii="仿宋_GB2312" w:eastAsia="仿宋_GB2312" w:cs="仿宋_GB2312"/>
          <w:color w:val="616161"/>
          <w:sz w:val="31"/>
          <w:szCs w:val="31"/>
          <w:bdr w:val="none" w:color="auto" w:sz="0" w:space="0"/>
          <w:vertAlign w:val="baseline"/>
        </w:rPr>
        <w:t>中增加</w:t>
      </w:r>
      <w:r>
        <w:rPr>
          <w:rFonts w:hint="default" w:ascii="Calibri" w:hAnsi="Calibri" w:eastAsia="仿宋_GB2312" w:cs="Calibri"/>
          <w:color w:val="616161"/>
          <w:sz w:val="31"/>
          <w:szCs w:val="31"/>
          <w:bdr w:val="none" w:color="auto" w:sz="0" w:space="0"/>
          <w:vertAlign w:val="baseline"/>
        </w:rPr>
        <w:t>“</w:t>
      </w:r>
      <w:r>
        <w:rPr>
          <w:rFonts w:hint="default" w:ascii="Times New Roman" w:hAnsi="Times New Roman" w:cs="Times New Roman"/>
          <w:color w:val="616161"/>
          <w:sz w:val="31"/>
          <w:szCs w:val="31"/>
          <w:bdr w:val="none" w:color="auto" w:sz="0" w:space="0"/>
          <w:vertAlign w:val="baseline"/>
        </w:rPr>
        <w:t>12</w:t>
      </w:r>
      <w:r>
        <w:rPr>
          <w:rFonts w:hint="eastAsia" w:ascii="仿宋_GB2312" w:eastAsia="仿宋_GB2312" w:cs="仿宋_GB2312"/>
          <w:color w:val="616161"/>
          <w:sz w:val="31"/>
          <w:szCs w:val="31"/>
          <w:bdr w:val="none" w:color="auto" w:sz="0" w:space="0"/>
          <w:vertAlign w:val="baseline"/>
        </w:rPr>
        <w:t>法人治理结构</w:t>
      </w:r>
      <w:r>
        <w:rPr>
          <w:rFonts w:hint="default" w:ascii="Calibri" w:hAnsi="Calibri" w:eastAsia="仿宋_GB2312" w:cs="Calibri"/>
          <w:color w:val="616161"/>
          <w:sz w:val="31"/>
          <w:szCs w:val="31"/>
          <w:bdr w:val="none" w:color="auto" w:sz="0" w:space="0"/>
          <w:vertAlign w:val="baseline"/>
        </w:rPr>
        <w:t>”</w:t>
      </w:r>
      <w:r>
        <w:rPr>
          <w:rFonts w:hint="eastAsia" w:ascii="仿宋_GB2312" w:eastAsia="仿宋_GB2312" w:cs="仿宋_GB2312"/>
          <w:color w:val="616161"/>
          <w:sz w:val="31"/>
          <w:szCs w:val="31"/>
          <w:bdr w:val="none" w:color="auto" w:sz="0" w:space="0"/>
          <w:vertAlign w:val="baseline"/>
        </w:rPr>
        <w:t>和</w:t>
      </w:r>
      <w:r>
        <w:rPr>
          <w:rFonts w:hint="default" w:ascii="Calibri" w:hAnsi="Calibri" w:eastAsia="仿宋_GB2312" w:cs="Calibri"/>
          <w:color w:val="616161"/>
          <w:sz w:val="31"/>
          <w:szCs w:val="31"/>
          <w:bdr w:val="none" w:color="auto" w:sz="0" w:space="0"/>
          <w:vertAlign w:val="baseline"/>
        </w:rPr>
        <w:t>“</w:t>
      </w:r>
      <w:r>
        <w:rPr>
          <w:rFonts w:hint="default" w:ascii="Times New Roman" w:hAnsi="Times New Roman" w:cs="Times New Roman"/>
          <w:color w:val="616161"/>
          <w:sz w:val="31"/>
          <w:szCs w:val="31"/>
          <w:bdr w:val="none" w:color="auto" w:sz="0" w:space="0"/>
          <w:vertAlign w:val="baseline"/>
        </w:rPr>
        <w:t>13</w:t>
      </w:r>
      <w:r>
        <w:rPr>
          <w:rFonts w:hint="eastAsia" w:ascii="仿宋_GB2312" w:eastAsia="仿宋_GB2312" w:cs="仿宋_GB2312"/>
          <w:color w:val="616161"/>
          <w:sz w:val="31"/>
          <w:szCs w:val="31"/>
          <w:bdr w:val="none" w:color="auto" w:sz="0" w:space="0"/>
          <w:vertAlign w:val="baseline"/>
        </w:rPr>
        <w:t>选人用人</w:t>
      </w:r>
      <w:r>
        <w:rPr>
          <w:rFonts w:hint="default" w:ascii="Calibri" w:hAnsi="Calibri" w:eastAsia="仿宋_GB2312" w:cs="Calibri"/>
          <w:color w:val="616161"/>
          <w:sz w:val="31"/>
          <w:szCs w:val="31"/>
          <w:bdr w:val="none" w:color="auto" w:sz="0" w:space="0"/>
          <w:vertAlign w:val="baseline"/>
        </w:rPr>
        <w:t>”</w:t>
      </w:r>
      <w:r>
        <w:rPr>
          <w:rFonts w:hint="eastAsia" w:ascii="仿宋_GB2312" w:eastAsia="仿宋_GB2312" w:cs="仿宋_GB2312"/>
          <w:color w:val="616161"/>
          <w:sz w:val="31"/>
          <w:szCs w:val="31"/>
          <w:bdr w:val="none" w:color="auto" w:sz="0" w:space="0"/>
          <w:vertAlign w:val="baseline"/>
        </w:rPr>
        <w:t>两项内容，具体包括</w:t>
      </w:r>
      <w:r>
        <w:rPr>
          <w:rFonts w:hint="default" w:ascii="Calibri" w:hAnsi="Calibri" w:eastAsia="仿宋_GB2312" w:cs="Calibri"/>
          <w:color w:val="616161"/>
          <w:sz w:val="31"/>
          <w:szCs w:val="31"/>
          <w:bdr w:val="none" w:color="auto" w:sz="0" w:space="0"/>
          <w:vertAlign w:val="baseline"/>
        </w:rPr>
        <w:t>“</w:t>
      </w:r>
      <w:r>
        <w:rPr>
          <w:rFonts w:hint="default" w:ascii="Times New Roman" w:hAnsi="Times New Roman" w:cs="Times New Roman"/>
          <w:color w:val="616161"/>
          <w:sz w:val="31"/>
          <w:szCs w:val="31"/>
          <w:bdr w:val="none" w:color="auto" w:sz="0" w:space="0"/>
          <w:vertAlign w:val="baseline"/>
        </w:rPr>
        <w:t>12.1</w:t>
      </w:r>
      <w:r>
        <w:rPr>
          <w:rFonts w:hint="eastAsia" w:ascii="仿宋_GB2312" w:eastAsia="仿宋_GB2312" w:cs="仿宋_GB2312"/>
          <w:color w:val="616161"/>
          <w:sz w:val="31"/>
          <w:szCs w:val="31"/>
          <w:bdr w:val="none" w:color="auto" w:sz="0" w:space="0"/>
          <w:vertAlign w:val="baseline"/>
        </w:rPr>
        <w:t>企业法人治理结构设立、变更</w:t>
      </w:r>
      <w:r>
        <w:rPr>
          <w:rFonts w:hint="default" w:ascii="Calibri" w:hAnsi="Calibri" w:eastAsia="仿宋_GB2312" w:cs="Calibri"/>
          <w:color w:val="616161"/>
          <w:sz w:val="31"/>
          <w:szCs w:val="31"/>
          <w:bdr w:val="none" w:color="auto" w:sz="0" w:space="0"/>
          <w:vertAlign w:val="baseline"/>
        </w:rPr>
        <w:t>”</w:t>
      </w:r>
      <w:r>
        <w:rPr>
          <w:rFonts w:hint="eastAsia" w:ascii="仿宋_GB2312" w:eastAsia="仿宋_GB2312" w:cs="仿宋_GB2312"/>
          <w:color w:val="616161"/>
          <w:sz w:val="31"/>
          <w:szCs w:val="31"/>
          <w:bdr w:val="none" w:color="auto" w:sz="0" w:space="0"/>
          <w:vertAlign w:val="baseline"/>
        </w:rPr>
        <w:t>和</w:t>
      </w:r>
      <w:r>
        <w:rPr>
          <w:rFonts w:hint="default" w:ascii="Calibri" w:hAnsi="Calibri" w:eastAsia="仿宋_GB2312" w:cs="Calibri"/>
          <w:color w:val="616161"/>
          <w:sz w:val="31"/>
          <w:szCs w:val="31"/>
          <w:bdr w:val="none" w:color="auto" w:sz="0" w:space="0"/>
          <w:vertAlign w:val="baseline"/>
        </w:rPr>
        <w:t>“</w:t>
      </w:r>
      <w:r>
        <w:rPr>
          <w:rFonts w:hint="default" w:ascii="Times New Roman" w:hAnsi="Times New Roman" w:cs="Times New Roman"/>
          <w:color w:val="616161"/>
          <w:sz w:val="31"/>
          <w:szCs w:val="31"/>
          <w:bdr w:val="none" w:color="auto" w:sz="0" w:space="0"/>
          <w:vertAlign w:val="baseline"/>
        </w:rPr>
        <w:t>13.1</w:t>
      </w:r>
      <w:r>
        <w:rPr>
          <w:rFonts w:hint="eastAsia" w:ascii="仿宋_GB2312" w:eastAsia="仿宋_GB2312" w:cs="仿宋_GB2312"/>
          <w:color w:val="616161"/>
          <w:sz w:val="31"/>
          <w:szCs w:val="31"/>
          <w:bdr w:val="none" w:color="auto" w:sz="0" w:space="0"/>
          <w:vertAlign w:val="baseline"/>
        </w:rPr>
        <w:t>区管企业高层(参照科级管理)、中层管理人员的聘用</w:t>
      </w:r>
      <w:r>
        <w:rPr>
          <w:rFonts w:hint="default" w:ascii="Calibri" w:hAnsi="Calibri" w:eastAsia="仿宋_GB2312" w:cs="Calibri"/>
          <w:color w:val="616161"/>
          <w:sz w:val="31"/>
          <w:szCs w:val="31"/>
          <w:bdr w:val="none" w:color="auto" w:sz="0" w:space="0"/>
          <w:vertAlign w:val="baseline"/>
        </w:rPr>
        <w:t>”</w:t>
      </w:r>
      <w:r>
        <w:rPr>
          <w:rFonts w:hint="eastAsia" w:ascii="仿宋_GB2312" w:eastAsia="仿宋_GB2312" w:cs="仿宋_GB2312"/>
          <w:color w:val="616161"/>
          <w:sz w:val="31"/>
          <w:szCs w:val="31"/>
          <w:bdr w:val="none" w:color="auto" w:sz="0" w:space="0"/>
          <w:vertAlign w:val="baseline"/>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firstLine="645"/>
        <w:jc w:val="both"/>
        <w:textAlignment w:val="baseline"/>
      </w:pPr>
      <w:r>
        <w:rPr>
          <w:rFonts w:hint="default" w:ascii="Calibri" w:hAnsi="Calibri" w:cs="Calibri"/>
          <w:sz w:val="24"/>
          <w:szCs w:val="24"/>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firstLine="645"/>
        <w:jc w:val="both"/>
        <w:textAlignment w:val="baseline"/>
      </w:pPr>
      <w:r>
        <w:rPr>
          <w:rFonts w:hint="eastAsia" w:ascii="仿宋_GB2312" w:eastAsia="仿宋_GB2312" w:cs="仿宋_GB2312"/>
          <w:color w:val="616161"/>
          <w:sz w:val="31"/>
          <w:szCs w:val="31"/>
          <w:bdr w:val="none" w:color="auto" w:sz="0" w:space="0"/>
          <w:vertAlign w:val="baseline"/>
        </w:rPr>
        <w:t>附件：《东丽区国资委出资人监管权责清单目录》（调整）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pPr>
      <w:r>
        <w:rPr>
          <w:rFonts w:hint="default" w:ascii="Calibri" w:hAnsi="Calibri" w:cs="Calibri"/>
          <w:sz w:val="24"/>
          <w:szCs w:val="24"/>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firstLine="0"/>
        <w:jc w:val="right"/>
        <w:textAlignment w:val="baseline"/>
      </w:pPr>
      <w:r>
        <w:rPr>
          <w:rFonts w:hint="eastAsia" w:ascii="仿宋_GB2312" w:eastAsia="仿宋_GB2312" w:cs="仿宋_GB2312"/>
          <w:color w:val="616161"/>
          <w:sz w:val="31"/>
          <w:szCs w:val="31"/>
          <w:bdr w:val="none" w:color="auto" w:sz="0" w:space="0"/>
          <w:vertAlign w:val="baseline"/>
        </w:rPr>
        <w:t>天津市东丽区人民政府国有资产监督管理委员会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firstLine="645"/>
        <w:jc w:val="right"/>
        <w:textAlignment w:val="baseline"/>
      </w:pPr>
      <w:r>
        <w:rPr>
          <w:rFonts w:hint="eastAsia" w:ascii="仿宋_GB2312" w:eastAsia="仿宋_GB2312" w:cs="仿宋_GB2312"/>
          <w:color w:val="616161"/>
          <w:sz w:val="31"/>
          <w:szCs w:val="31"/>
          <w:bdr w:val="none" w:color="auto" w:sz="0" w:space="0"/>
          <w:vertAlign w:val="baseline"/>
        </w:rPr>
        <w:t>　　　　　　　　　　　　      </w:t>
      </w:r>
      <w:r>
        <w:rPr>
          <w:rFonts w:hint="default" w:ascii="Times New Roman" w:hAnsi="Times New Roman" w:cs="Times New Roman"/>
          <w:color w:val="616161"/>
          <w:sz w:val="31"/>
          <w:szCs w:val="31"/>
          <w:bdr w:val="none" w:color="auto" w:sz="0" w:space="0"/>
          <w:vertAlign w:val="baseline"/>
        </w:rPr>
        <w:t>2022</w:t>
      </w:r>
      <w:r>
        <w:rPr>
          <w:rFonts w:hint="eastAsia" w:ascii="仿宋_GB2312" w:eastAsia="仿宋_GB2312" w:cs="仿宋_GB2312"/>
          <w:color w:val="616161"/>
          <w:sz w:val="31"/>
          <w:szCs w:val="31"/>
          <w:bdr w:val="none" w:color="auto" w:sz="0" w:space="0"/>
          <w:vertAlign w:val="baseline"/>
        </w:rPr>
        <w:t>年</w:t>
      </w:r>
      <w:r>
        <w:rPr>
          <w:rFonts w:hint="default" w:ascii="Times New Roman" w:hAnsi="Times New Roman" w:cs="Times New Roman"/>
          <w:color w:val="616161"/>
          <w:sz w:val="31"/>
          <w:szCs w:val="31"/>
          <w:bdr w:val="none" w:color="auto" w:sz="0" w:space="0"/>
          <w:vertAlign w:val="baseline"/>
        </w:rPr>
        <w:t>11</w:t>
      </w:r>
      <w:r>
        <w:rPr>
          <w:rFonts w:hint="eastAsia" w:ascii="仿宋_GB2312" w:eastAsia="仿宋_GB2312" w:cs="仿宋_GB2312"/>
          <w:color w:val="616161"/>
          <w:sz w:val="31"/>
          <w:szCs w:val="31"/>
          <w:bdr w:val="none" w:color="auto" w:sz="0" w:space="0"/>
          <w:vertAlign w:val="baseline"/>
        </w:rPr>
        <w:t>月</w:t>
      </w:r>
      <w:r>
        <w:rPr>
          <w:rFonts w:hint="default" w:ascii="Times New Roman" w:hAnsi="Times New Roman" w:cs="Times New Roman"/>
          <w:color w:val="616161"/>
          <w:sz w:val="31"/>
          <w:szCs w:val="31"/>
          <w:bdr w:val="none" w:color="auto" w:sz="0" w:space="0"/>
          <w:vertAlign w:val="baseline"/>
        </w:rPr>
        <w:t>2</w:t>
      </w:r>
      <w:r>
        <w:rPr>
          <w:rFonts w:hint="eastAsia" w:ascii="仿宋_GB2312" w:eastAsia="仿宋_GB2312" w:cs="仿宋_GB2312"/>
          <w:color w:val="616161"/>
          <w:sz w:val="31"/>
          <w:szCs w:val="31"/>
          <w:bdr w:val="none" w:color="auto" w:sz="0" w:space="0"/>
          <w:vertAlign w:val="baseline"/>
        </w:rPr>
        <w:t>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firstLine="645"/>
        <w:jc w:val="both"/>
        <w:textAlignment w:val="baseline"/>
      </w:pPr>
      <w:r>
        <w:rPr>
          <w:rFonts w:hint="eastAsia" w:ascii="仿宋_GB2312" w:eastAsia="仿宋_GB2312" w:cs="仿宋_GB2312"/>
          <w:color w:val="616161"/>
          <w:sz w:val="31"/>
          <w:szCs w:val="31"/>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rPr>
          <w:bdr w:val="none" w:color="auto" w:sz="0" w:space="0"/>
          <w:vertAlign w:val="baseline"/>
        </w:rPr>
      </w:pPr>
      <w:r>
        <w:rPr>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rPr>
          <w:bdr w:val="none" w:color="auto" w:sz="0" w:space="0"/>
          <w:vertAlign w:val="baseli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rPr>
          <w:bdr w:val="none" w:color="auto" w:sz="0" w:space="0"/>
          <w:vertAlign w:val="baseli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rPr>
          <w:rFonts w:hint="eastAsia" w:ascii="黑体" w:hAnsi="黑体" w:eastAsia="黑体" w:cs="黑体"/>
          <w:bdr w:val="none" w:color="auto" w:sz="0" w:space="0"/>
          <w:vertAlign w:val="baseline"/>
        </w:rPr>
      </w:pPr>
      <w:r>
        <w:rPr>
          <w:rFonts w:hint="eastAsia" w:ascii="黑体" w:hAnsi="黑体" w:eastAsia="黑体" w:cs="黑体"/>
          <w:color w:val="616161"/>
          <w:sz w:val="31"/>
          <w:szCs w:val="31"/>
          <w:vertAlign w:val="baseline"/>
        </w:rPr>
        <w:t>附件：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color w:val="616161"/>
          <w:sz w:val="31"/>
          <w:szCs w:val="31"/>
          <w:bdr w:val="none" w:color="auto" w:sz="0" w:space="0"/>
          <w:vertAlign w:val="baseline"/>
        </w:rPr>
        <w:t>东丽区国资委出资人监管权责清单目录（调整）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color w:val="616161"/>
          <w:sz w:val="31"/>
          <w:szCs w:val="31"/>
          <w:bdr w:val="none" w:color="auto" w:sz="0" w:space="0"/>
          <w:vertAlign w:val="baseline"/>
        </w:rPr>
        <w:t>(审核、核准、事前备案事项）</w:t>
      </w:r>
    </w:p>
    <w:tbl>
      <w:tblPr>
        <w:tblW w:w="0" w:type="auto"/>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75" w:type="dxa"/>
          <w:left w:w="150" w:type="dxa"/>
          <w:bottom w:w="75" w:type="dxa"/>
          <w:right w:w="150" w:type="dxa"/>
        </w:tblCellMar>
      </w:tblPr>
      <w:tblGrid>
        <w:gridCol w:w="705"/>
        <w:gridCol w:w="2130"/>
        <w:gridCol w:w="990"/>
        <w:gridCol w:w="4110"/>
        <w:gridCol w:w="690"/>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rPr>
          <w:trHeight w:val="510" w:hRule="atLeast"/>
        </w:trPr>
        <w:tc>
          <w:tcPr>
            <w:tcW w:w="705" w:type="dxa"/>
            <w:vMerge w:val="restart"/>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180" w:right="0" w:firstLine="0"/>
              <w:textAlignment w:val="baseline"/>
            </w:pPr>
            <w:r>
              <w:rPr>
                <w:rStyle w:val="5"/>
                <w:rFonts w:hint="eastAsia" w:ascii="宋体" w:hAnsi="宋体" w:eastAsia="宋体" w:cs="宋体"/>
                <w:spacing w:val="0"/>
                <w:sz w:val="24"/>
                <w:szCs w:val="24"/>
                <w:bdr w:val="none" w:color="auto" w:sz="0" w:space="0"/>
                <w:vertAlign w:val="baseline"/>
              </w:rPr>
              <w:t>序号</w:t>
            </w:r>
          </w:p>
        </w:tc>
        <w:tc>
          <w:tcPr>
            <w:tcW w:w="2130" w:type="dxa"/>
            <w:vMerge w:val="restart"/>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    主要权责</w:t>
            </w:r>
          </w:p>
        </w:tc>
        <w:tc>
          <w:tcPr>
            <w:tcW w:w="5790" w:type="dxa"/>
            <w:gridSpan w:val="3"/>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                   权责事项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390" w:hRule="atLeast"/>
        </w:trPr>
        <w:tc>
          <w:tcPr>
            <w:tcW w:w="705"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2130"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 序号</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              名称</w:t>
            </w:r>
          </w:p>
        </w:tc>
        <w:tc>
          <w:tcPr>
            <w:tcW w:w="67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页码</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95" w:hRule="atLeast"/>
        </w:trPr>
        <w:tc>
          <w:tcPr>
            <w:tcW w:w="705" w:type="dxa"/>
            <w:tcBorders>
              <w:top w:val="single" w:color="auto" w:sz="6" w:space="0"/>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  1</w:t>
            </w:r>
          </w:p>
        </w:tc>
        <w:tc>
          <w:tcPr>
            <w:tcW w:w="2130" w:type="dxa"/>
            <w:tcBorders>
              <w:top w:val="single" w:color="auto" w:sz="6" w:space="0"/>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发展战略管理</w:t>
            </w:r>
          </w:p>
        </w:tc>
        <w:tc>
          <w:tcPr>
            <w:tcW w:w="990" w:type="dxa"/>
            <w:tcBorders>
              <w:top w:val="single" w:color="auto" w:sz="6" w:space="0"/>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1.1</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发展战略规划审核</w:t>
            </w:r>
          </w:p>
        </w:tc>
        <w:tc>
          <w:tcPr>
            <w:tcW w:w="690"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95" w:hRule="atLeast"/>
        </w:trPr>
        <w:tc>
          <w:tcPr>
            <w:tcW w:w="705" w:type="dxa"/>
            <w:tcBorders>
              <w:top w:val="nil"/>
              <w:left w:val="single" w:color="auto" w:sz="6" w:space="0"/>
              <w:bottom w:val="single" w:color="auto" w:sz="6" w:space="0"/>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  2</w:t>
            </w:r>
          </w:p>
        </w:tc>
        <w:tc>
          <w:tcPr>
            <w:tcW w:w="2130" w:type="dxa"/>
            <w:tcBorders>
              <w:top w:val="nil"/>
              <w:left w:val="nil"/>
              <w:bottom w:val="single" w:color="auto" w:sz="6" w:space="0"/>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主营业务管理</w:t>
            </w:r>
          </w:p>
        </w:tc>
        <w:tc>
          <w:tcPr>
            <w:tcW w:w="990" w:type="dxa"/>
            <w:tcBorders>
              <w:top w:val="nil"/>
              <w:left w:val="nil"/>
              <w:bottom w:val="single" w:color="auto" w:sz="6" w:space="0"/>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2.1</w:t>
            </w:r>
          </w:p>
        </w:tc>
        <w:tc>
          <w:tcPr>
            <w:tcW w:w="4110" w:type="dxa"/>
            <w:tcBorders>
              <w:top w:val="single" w:color="auto" w:sz="6" w:space="0"/>
              <w:left w:val="nil"/>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主营业务核准</w:t>
            </w:r>
          </w:p>
        </w:tc>
        <w:tc>
          <w:tcPr>
            <w:tcW w:w="690"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555" w:hRule="atLeast"/>
        </w:trPr>
        <w:tc>
          <w:tcPr>
            <w:tcW w:w="705" w:type="dxa"/>
            <w:tcBorders>
              <w:top w:val="nil"/>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Style w:val="5"/>
                <w:rFonts w:hint="eastAsia" w:ascii="宋体" w:hAnsi="宋体" w:eastAsia="宋体" w:cs="宋体"/>
                <w:spacing w:val="0"/>
                <w:sz w:val="24"/>
                <w:szCs w:val="24"/>
                <w:bdr w:val="none" w:color="auto" w:sz="0" w:space="0"/>
                <w:vertAlign w:val="baseline"/>
              </w:rPr>
              <w:t>3</w:t>
            </w:r>
          </w:p>
        </w:tc>
        <w:tc>
          <w:tcPr>
            <w:tcW w:w="2130" w:type="dxa"/>
            <w:tcBorders>
              <w:top w:val="nil"/>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pacing w:val="0"/>
                <w:sz w:val="24"/>
                <w:szCs w:val="24"/>
                <w:bdr w:val="none" w:color="auto" w:sz="0" w:space="0"/>
                <w:vertAlign w:val="baseline"/>
              </w:rPr>
              <w:t>投资管理</w:t>
            </w:r>
          </w:p>
        </w:tc>
        <w:tc>
          <w:tcPr>
            <w:tcW w:w="990" w:type="dxa"/>
            <w:tcBorders>
              <w:top w:val="nil"/>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3.1</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区管企业年度投资计划备案</w:t>
            </w:r>
          </w:p>
        </w:tc>
        <w:tc>
          <w:tcPr>
            <w:tcW w:w="690"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05" w:hRule="atLeast"/>
        </w:trPr>
        <w:tc>
          <w:tcPr>
            <w:tcW w:w="705" w:type="dxa"/>
            <w:vMerge w:val="restart"/>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  4</w:t>
            </w:r>
          </w:p>
        </w:tc>
        <w:tc>
          <w:tcPr>
            <w:tcW w:w="2130" w:type="dxa"/>
            <w:vMerge w:val="restart"/>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改制重组管理</w:t>
            </w: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4.1</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增减注册资本审核</w:t>
            </w:r>
          </w:p>
        </w:tc>
        <w:tc>
          <w:tcPr>
            <w:tcW w:w="690"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4</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585" w:hRule="atLeast"/>
        </w:trPr>
        <w:tc>
          <w:tcPr>
            <w:tcW w:w="705"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2130"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4.2</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区管企业合并、分立、重组；改组组建国有资本投资、运营公司</w:t>
            </w:r>
          </w:p>
        </w:tc>
        <w:tc>
          <w:tcPr>
            <w:tcW w:w="67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65" w:hRule="atLeast"/>
        </w:trPr>
        <w:tc>
          <w:tcPr>
            <w:tcW w:w="705"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2130"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4.3</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区管企业改制</w:t>
            </w:r>
          </w:p>
        </w:tc>
        <w:tc>
          <w:tcPr>
            <w:tcW w:w="67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50" w:hRule="atLeast"/>
        </w:trPr>
        <w:tc>
          <w:tcPr>
            <w:tcW w:w="705" w:type="dxa"/>
            <w:vMerge w:val="restart"/>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  5</w:t>
            </w:r>
          </w:p>
        </w:tc>
        <w:tc>
          <w:tcPr>
            <w:tcW w:w="2130" w:type="dxa"/>
            <w:vMerge w:val="restart"/>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一般产权管理</w:t>
            </w: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5.1</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转让所持国有产权审核</w:t>
            </w:r>
          </w:p>
        </w:tc>
        <w:tc>
          <w:tcPr>
            <w:tcW w:w="690"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7</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20" w:hRule="atLeast"/>
        </w:trPr>
        <w:tc>
          <w:tcPr>
            <w:tcW w:w="705"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2130"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5.2</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受让方资格条件设置事前备案</w:t>
            </w:r>
          </w:p>
        </w:tc>
        <w:tc>
          <w:tcPr>
            <w:tcW w:w="67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35" w:hRule="atLeast"/>
        </w:trPr>
        <w:tc>
          <w:tcPr>
            <w:tcW w:w="705"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2130"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5.3</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无偿划转所持国有股权审核</w:t>
            </w:r>
          </w:p>
        </w:tc>
        <w:tc>
          <w:tcPr>
            <w:tcW w:w="67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95" w:hRule="atLeast"/>
        </w:trPr>
        <w:tc>
          <w:tcPr>
            <w:tcW w:w="705"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2130"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5.4</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国有资产评估项目事前备案</w:t>
            </w:r>
          </w:p>
        </w:tc>
        <w:tc>
          <w:tcPr>
            <w:tcW w:w="67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10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35" w:hRule="atLeast"/>
        </w:trPr>
        <w:tc>
          <w:tcPr>
            <w:tcW w:w="705"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2130"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5.5</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企业非公开协议转让事项核准</w:t>
            </w:r>
          </w:p>
        </w:tc>
        <w:tc>
          <w:tcPr>
            <w:tcW w:w="67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11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330" w:hRule="atLeast"/>
        </w:trPr>
        <w:tc>
          <w:tcPr>
            <w:tcW w:w="705" w:type="dxa"/>
            <w:tcBorders>
              <w:top w:val="nil"/>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widowControl/>
              <w:suppressLineNumbers w:val="0"/>
              <w:kinsoku/>
              <w:wordWrap w:val="0"/>
              <w:overflowPunct/>
              <w:topLinePunct w:val="0"/>
              <w:autoSpaceDE/>
              <w:autoSpaceDN/>
              <w:bidi w:val="0"/>
              <w:adjustRightInd/>
              <w:snapToGrid w:val="0"/>
              <w:spacing w:beforeAutospacing="0" w:afterAutospacing="0" w:line="560" w:lineRule="exact"/>
              <w:jc w:val="left"/>
            </w:pPr>
          </w:p>
        </w:tc>
        <w:tc>
          <w:tcPr>
            <w:tcW w:w="2130" w:type="dxa"/>
            <w:tcBorders>
              <w:top w:val="nil"/>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widowControl/>
              <w:suppressLineNumbers w:val="0"/>
              <w:kinsoku/>
              <w:wordWrap w:val="0"/>
              <w:overflowPunct/>
              <w:topLinePunct w:val="0"/>
              <w:autoSpaceDE/>
              <w:autoSpaceDN/>
              <w:bidi w:val="0"/>
              <w:adjustRightInd/>
              <w:snapToGrid w:val="0"/>
              <w:spacing w:beforeAutospacing="0" w:afterAutospacing="0" w:line="560" w:lineRule="exact"/>
              <w:jc w:val="left"/>
            </w:pP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5.6</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企业资产转让项目备案</w:t>
            </w:r>
          </w:p>
        </w:tc>
        <w:tc>
          <w:tcPr>
            <w:tcW w:w="690"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12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05" w:hRule="atLeast"/>
        </w:trPr>
        <w:tc>
          <w:tcPr>
            <w:tcW w:w="705" w:type="dxa"/>
            <w:vMerge w:val="restart"/>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  6</w:t>
            </w:r>
          </w:p>
        </w:tc>
        <w:tc>
          <w:tcPr>
            <w:tcW w:w="2130" w:type="dxa"/>
            <w:vMerge w:val="restart"/>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改组剥离管理</w:t>
            </w: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6.1</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企业解散清算审核</w:t>
            </w:r>
          </w:p>
        </w:tc>
        <w:tc>
          <w:tcPr>
            <w:tcW w:w="690"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13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35" w:hRule="atLeast"/>
        </w:trPr>
        <w:tc>
          <w:tcPr>
            <w:tcW w:w="705"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2130"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6.2</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区管企业破产审核</w:t>
            </w:r>
          </w:p>
        </w:tc>
        <w:tc>
          <w:tcPr>
            <w:tcW w:w="67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14</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375" w:hRule="atLeast"/>
        </w:trPr>
        <w:tc>
          <w:tcPr>
            <w:tcW w:w="705" w:type="dxa"/>
            <w:vMerge w:val="restart"/>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  7</w:t>
            </w:r>
          </w:p>
        </w:tc>
        <w:tc>
          <w:tcPr>
            <w:tcW w:w="2130" w:type="dxa"/>
            <w:vMerge w:val="restart"/>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经营业绩考核和负责人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薪酬管理</w:t>
            </w: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7.1</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区管企业负责人经营业绩考核与薪酬水平核定</w:t>
            </w:r>
          </w:p>
        </w:tc>
        <w:tc>
          <w:tcPr>
            <w:tcW w:w="690"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15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35" w:hRule="atLeast"/>
        </w:trPr>
        <w:tc>
          <w:tcPr>
            <w:tcW w:w="705"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2130" w:type="dxa"/>
            <w:vMerge w:val="continue"/>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keepNext w:val="0"/>
              <w:keepLines w:val="0"/>
              <w:pageBreakBefore w:val="0"/>
              <w:kinsoku/>
              <w:overflowPunct/>
              <w:topLinePunct w:val="0"/>
              <w:autoSpaceDE/>
              <w:autoSpaceDN/>
              <w:bidi w:val="0"/>
              <w:adjustRightInd/>
              <w:snapToGrid w:val="0"/>
              <w:spacing w:before="0" w:beforeAutospacing="0" w:after="0" w:afterAutospacing="0" w:line="560" w:lineRule="exact"/>
              <w:rPr>
                <w:rFonts w:hint="eastAsia" w:ascii="宋体"/>
                <w:sz w:val="24"/>
                <w:szCs w:val="24"/>
              </w:rPr>
            </w:pP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7.2</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区管企业工资总额预算审核</w:t>
            </w:r>
          </w:p>
        </w:tc>
        <w:tc>
          <w:tcPr>
            <w:tcW w:w="67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16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345" w:hRule="atLeast"/>
        </w:trPr>
        <w:tc>
          <w:tcPr>
            <w:tcW w:w="70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  8</w:t>
            </w:r>
          </w:p>
        </w:tc>
        <w:tc>
          <w:tcPr>
            <w:tcW w:w="213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担保管理</w:t>
            </w: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8.1</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对外担保核准</w:t>
            </w:r>
          </w:p>
        </w:tc>
        <w:tc>
          <w:tcPr>
            <w:tcW w:w="690"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17</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65" w:hRule="atLeast"/>
        </w:trPr>
        <w:tc>
          <w:tcPr>
            <w:tcW w:w="70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  9</w:t>
            </w:r>
          </w:p>
        </w:tc>
        <w:tc>
          <w:tcPr>
            <w:tcW w:w="213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国有资本经营预算</w:t>
            </w: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9.1</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国有资本经营预算编制建议草案与执行</w:t>
            </w:r>
          </w:p>
        </w:tc>
        <w:tc>
          <w:tcPr>
            <w:tcW w:w="690"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18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95" w:hRule="atLeast"/>
        </w:trPr>
        <w:tc>
          <w:tcPr>
            <w:tcW w:w="705" w:type="dxa"/>
            <w:tcBorders>
              <w:top w:val="single" w:color="auto" w:sz="6" w:space="0"/>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  10</w:t>
            </w:r>
          </w:p>
        </w:tc>
        <w:tc>
          <w:tcPr>
            <w:tcW w:w="2130" w:type="dxa"/>
            <w:tcBorders>
              <w:top w:val="single" w:color="auto" w:sz="6" w:space="0"/>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捐赠管理</w:t>
            </w:r>
          </w:p>
        </w:tc>
        <w:tc>
          <w:tcPr>
            <w:tcW w:w="99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10.1</w:t>
            </w:r>
          </w:p>
        </w:tc>
        <w:tc>
          <w:tcPr>
            <w:tcW w:w="4110"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对外捐赠审核</w:t>
            </w:r>
          </w:p>
        </w:tc>
        <w:tc>
          <w:tcPr>
            <w:tcW w:w="690"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19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95" w:hRule="atLeast"/>
        </w:trPr>
        <w:tc>
          <w:tcPr>
            <w:tcW w:w="705" w:type="dxa"/>
            <w:tcBorders>
              <w:top w:val="nil"/>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  11</w:t>
            </w:r>
          </w:p>
        </w:tc>
        <w:tc>
          <w:tcPr>
            <w:tcW w:w="2130" w:type="dxa"/>
            <w:tcBorders>
              <w:top w:val="nil"/>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章程管理</w:t>
            </w:r>
          </w:p>
        </w:tc>
        <w:tc>
          <w:tcPr>
            <w:tcW w:w="990" w:type="dxa"/>
            <w:tcBorders>
              <w:top w:val="single" w:color="auto" w:sz="6" w:space="0"/>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11.1</w:t>
            </w:r>
          </w:p>
        </w:tc>
        <w:tc>
          <w:tcPr>
            <w:tcW w:w="4110" w:type="dxa"/>
            <w:tcBorders>
              <w:top w:val="single" w:color="auto" w:sz="6" w:space="0"/>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区管企业章程审批</w:t>
            </w:r>
          </w:p>
        </w:tc>
        <w:tc>
          <w:tcPr>
            <w:tcW w:w="690" w:type="dxa"/>
            <w:tcBorders>
              <w:top w:val="single" w:color="auto" w:sz="6" w:space="0"/>
              <w:left w:val="single" w:color="auto" w:sz="6" w:space="0"/>
              <w:bottom w:val="single" w:color="auto" w:sz="6" w:space="0"/>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20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95" w:hRule="atLeast"/>
        </w:trPr>
        <w:tc>
          <w:tcPr>
            <w:tcW w:w="705" w:type="dxa"/>
            <w:tcBorders>
              <w:top w:val="nil"/>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  12</w:t>
            </w:r>
          </w:p>
        </w:tc>
        <w:tc>
          <w:tcPr>
            <w:tcW w:w="2130" w:type="dxa"/>
            <w:tcBorders>
              <w:top w:val="nil"/>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法人治理结构</w:t>
            </w:r>
          </w:p>
        </w:tc>
        <w:tc>
          <w:tcPr>
            <w:tcW w:w="990" w:type="dxa"/>
            <w:tcBorders>
              <w:top w:val="nil"/>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12.1</w:t>
            </w:r>
          </w:p>
        </w:tc>
        <w:tc>
          <w:tcPr>
            <w:tcW w:w="4110" w:type="dxa"/>
            <w:tcBorders>
              <w:top w:val="nil"/>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企业法人治理结构设立、变更</w:t>
            </w:r>
          </w:p>
        </w:tc>
        <w:tc>
          <w:tcPr>
            <w:tcW w:w="690" w:type="dxa"/>
            <w:tcBorders>
              <w:top w:val="nil"/>
              <w:left w:val="single" w:color="auto" w:sz="6" w:space="0"/>
              <w:bottom w:val="single" w:color="auto" w:sz="6" w:space="0"/>
              <w:right w:val="single" w:color="auto" w:sz="6" w:space="0"/>
            </w:tcBorders>
            <w:shd w:val="clear" w:color="auto" w:fill="FFFFFF"/>
            <w:tcMar>
              <w:top w:w="0" w:type="dxa"/>
              <w:left w:w="15" w:type="dxa"/>
              <w:bottom w:w="0" w:type="dxa"/>
              <w:right w:w="15" w:type="dxa"/>
            </w:tcMar>
            <w:vAlign w:val="top"/>
          </w:tcPr>
          <w:p>
            <w:pPr>
              <w:keepNext w:val="0"/>
              <w:keepLines w:val="0"/>
              <w:pageBreakBefore w:val="0"/>
              <w:widowControl/>
              <w:suppressLineNumbers w:val="0"/>
              <w:kinsoku/>
              <w:wordWrap w:val="0"/>
              <w:overflowPunct/>
              <w:topLinePunct w:val="0"/>
              <w:autoSpaceDE/>
              <w:autoSpaceDN/>
              <w:bidi w:val="0"/>
              <w:adjustRightInd/>
              <w:snapToGrid w:val="0"/>
              <w:spacing w:beforeAutospacing="0" w:afterAutospacing="0" w:line="560" w:lineRule="exact"/>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95" w:hRule="atLeast"/>
        </w:trPr>
        <w:tc>
          <w:tcPr>
            <w:tcW w:w="705" w:type="dxa"/>
            <w:tcBorders>
              <w:top w:val="nil"/>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Style w:val="5"/>
                <w:rFonts w:hint="eastAsia" w:ascii="宋体" w:hAnsi="宋体" w:eastAsia="宋体" w:cs="宋体"/>
                <w:spacing w:val="0"/>
                <w:sz w:val="24"/>
                <w:szCs w:val="24"/>
                <w:bdr w:val="none" w:color="auto" w:sz="0" w:space="0"/>
                <w:vertAlign w:val="baseline"/>
              </w:rPr>
              <w:t>  13</w:t>
            </w:r>
          </w:p>
        </w:tc>
        <w:tc>
          <w:tcPr>
            <w:tcW w:w="2130" w:type="dxa"/>
            <w:tcBorders>
              <w:top w:val="nil"/>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选人用人</w:t>
            </w:r>
          </w:p>
        </w:tc>
        <w:tc>
          <w:tcPr>
            <w:tcW w:w="990" w:type="dxa"/>
            <w:tcBorders>
              <w:top w:val="nil"/>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13.1</w:t>
            </w:r>
          </w:p>
        </w:tc>
        <w:tc>
          <w:tcPr>
            <w:tcW w:w="4110" w:type="dxa"/>
            <w:tcBorders>
              <w:top w:val="nil"/>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sz w:val="24"/>
                <w:szCs w:val="24"/>
                <w:bdr w:val="none" w:color="auto" w:sz="0" w:space="0"/>
                <w:vertAlign w:val="baseline"/>
              </w:rPr>
              <w:t>区管企业高层(参照科级管理)、中层管理人员的聘用</w:t>
            </w:r>
          </w:p>
        </w:tc>
        <w:tc>
          <w:tcPr>
            <w:tcW w:w="435" w:type="dxa"/>
            <w:tcBorders>
              <w:top w:val="nil"/>
              <w:left w:val="single" w:color="auto" w:sz="6" w:space="0"/>
              <w:bottom w:val="single" w:color="auto" w:sz="6" w:space="0"/>
              <w:right w:val="single" w:color="auto" w:sz="6" w:space="0"/>
            </w:tcBorders>
            <w:shd w:val="clear" w:color="auto" w:fill="FFFFFF"/>
            <w:tcMar>
              <w:top w:w="0" w:type="dxa"/>
              <w:left w:w="15" w:type="dxa"/>
              <w:bottom w:w="0" w:type="dxa"/>
              <w:right w:w="15" w:type="dxa"/>
            </w:tcMar>
            <w:vAlign w:val="top"/>
          </w:tcPr>
          <w:p>
            <w:pPr>
              <w:keepNext w:val="0"/>
              <w:keepLines w:val="0"/>
              <w:pageBreakBefore w:val="0"/>
              <w:widowControl/>
              <w:suppressLineNumbers w:val="0"/>
              <w:kinsoku/>
              <w:wordWrap w:val="0"/>
              <w:overflowPunct/>
              <w:topLinePunct w:val="0"/>
              <w:autoSpaceDE/>
              <w:autoSpaceDN/>
              <w:bidi w:val="0"/>
              <w:adjustRightInd/>
              <w:snapToGrid w:val="0"/>
              <w:spacing w:beforeAutospacing="0" w:afterAutospacing="0" w:line="560" w:lineRule="exact"/>
              <w:jc w:val="left"/>
            </w:pP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pPr>
      <w:r>
        <w:rPr>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pPr>
      <w:r>
        <w:rPr>
          <w:rFonts w:hint="default" w:ascii="Calibri" w:hAnsi="Calibri" w:cs="Calibri"/>
          <w:sz w:val="24"/>
          <w:szCs w:val="24"/>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pPr>
      <w:r>
        <w:rPr>
          <w:rFonts w:hint="default" w:ascii="Calibri" w:hAnsi="Calibri" w:cs="Calibri"/>
          <w:sz w:val="24"/>
          <w:szCs w:val="24"/>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center"/>
        <w:textAlignment w:val="baseline"/>
      </w:pPr>
      <w:r>
        <w:rPr>
          <w:rFonts w:hint="eastAsia" w:ascii="宋体" w:hAnsi="宋体" w:eastAsia="宋体" w:cs="宋体"/>
          <w:color w:val="616161"/>
          <w:spacing w:val="-15"/>
          <w:sz w:val="31"/>
          <w:szCs w:val="31"/>
          <w:bdr w:val="none" w:color="auto" w:sz="0" w:space="0"/>
          <w:vertAlign w:val="baseline"/>
        </w:rPr>
        <w:t>法人治理结构事项信息表</w:t>
      </w:r>
    </w:p>
    <w:tbl>
      <w:tblPr>
        <w:tblW w:w="0" w:type="auto"/>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75" w:type="dxa"/>
          <w:left w:w="150" w:type="dxa"/>
          <w:bottom w:w="75" w:type="dxa"/>
          <w:right w:w="150" w:type="dxa"/>
        </w:tblCellMar>
      </w:tblPr>
      <w:tblGrid>
        <w:gridCol w:w="1554"/>
        <w:gridCol w:w="7321"/>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rPr>
          <w:trHeight w:val="645" w:hRule="atLeast"/>
        </w:trPr>
        <w:tc>
          <w:tcPr>
            <w:tcW w:w="157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    序号</w:t>
            </w:r>
          </w:p>
        </w:tc>
        <w:tc>
          <w:tcPr>
            <w:tcW w:w="742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480" w:right="0" w:hanging="480"/>
              <w:jc w:val="both"/>
              <w:textAlignment w:val="baseline"/>
            </w:pPr>
            <w:r>
              <w:rPr>
                <w:rFonts w:hint="eastAsia" w:ascii="宋体" w:hAnsi="宋体" w:eastAsia="宋体" w:cs="宋体"/>
                <w:spacing w:val="0"/>
                <w:sz w:val="24"/>
                <w:szCs w:val="24"/>
                <w:bdr w:val="none" w:color="auto" w:sz="0" w:space="0"/>
                <w:vertAlign w:val="baseline"/>
              </w:rPr>
              <w:t>1.1</w:t>
            </w:r>
            <w:r>
              <w:rPr>
                <w:rFonts w:hint="eastAsia" w:ascii="宋体" w:hAnsi="宋体" w:eastAsia="宋体" w:cs="宋体"/>
                <w:sz w:val="24"/>
                <w:szCs w:val="24"/>
                <w:bdr w:val="none" w:color="auto" w:sz="0" w:space="0"/>
                <w:vertAlign w:val="baseline"/>
              </w:rPr>
              <w:t> </w:t>
            </w:r>
            <w:r>
              <w:rPr>
                <w:rFonts w:hint="eastAsia" w:ascii="宋体" w:hAnsi="宋体" w:eastAsia="宋体" w:cs="宋体"/>
                <w:spacing w:val="0"/>
                <w:sz w:val="24"/>
                <w:szCs w:val="24"/>
                <w:bdr w:val="none" w:color="auto" w:sz="0" w:space="0"/>
                <w:vertAlign w:val="baseline"/>
              </w:rPr>
              <w:t>12.1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615" w:hRule="atLeast"/>
        </w:trPr>
        <w:tc>
          <w:tcPr>
            <w:tcW w:w="157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    名称</w:t>
            </w:r>
          </w:p>
        </w:tc>
        <w:tc>
          <w:tcPr>
            <w:tcW w:w="742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企业法人治理结构设立、变更</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2580" w:hRule="atLeast"/>
        </w:trPr>
        <w:tc>
          <w:tcPr>
            <w:tcW w:w="157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  法定依据</w:t>
            </w:r>
          </w:p>
        </w:tc>
        <w:tc>
          <w:tcPr>
            <w:tcW w:w="742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中华人民共和国公司法；天津市国资委监管企业董事会工作规则（试行）；市国资委关于印发监管企业董事会相关专门委员会议事规则指引的通知；关于进一步推动监管企业董事会配齐建强有关事项的通知；深化国有企业监事会改革方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540" w:hRule="atLeast"/>
        </w:trPr>
        <w:tc>
          <w:tcPr>
            <w:tcW w:w="157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  实施机构</w:t>
            </w:r>
          </w:p>
        </w:tc>
        <w:tc>
          <w:tcPr>
            <w:tcW w:w="742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区国资委综合科</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705" w:hRule="atLeast"/>
        </w:trPr>
        <w:tc>
          <w:tcPr>
            <w:tcW w:w="157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  权责边界</w:t>
            </w:r>
          </w:p>
        </w:tc>
        <w:tc>
          <w:tcPr>
            <w:tcW w:w="742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综合科独立行使</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2700" w:hRule="atLeast"/>
        </w:trPr>
        <w:tc>
          <w:tcPr>
            <w:tcW w:w="157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  运行流程</w:t>
            </w:r>
          </w:p>
        </w:tc>
        <w:tc>
          <w:tcPr>
            <w:tcW w:w="742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1.区管企业报送党组织、董事会、监事会或经理层人员组成、变更情况的备案表；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2.对企业报送的备案表进行审核并提出修改建议；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3.提交党委会审议；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4.审议通过后予以备案。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2400" w:hRule="atLeast"/>
        </w:trPr>
        <w:tc>
          <w:tcPr>
            <w:tcW w:w="157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  运行要件</w:t>
            </w:r>
          </w:p>
        </w:tc>
        <w:tc>
          <w:tcPr>
            <w:tcW w:w="742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1.《东丽区区属国有企业重大事项报告审核（备案）表》；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285" w:right="0" w:hanging="285"/>
              <w:jc w:val="both"/>
              <w:textAlignment w:val="baseline"/>
            </w:pPr>
            <w:r>
              <w:rPr>
                <w:rFonts w:hint="eastAsia" w:ascii="宋体" w:hAnsi="宋体" w:eastAsia="宋体" w:cs="宋体"/>
                <w:spacing w:val="0"/>
                <w:sz w:val="24"/>
                <w:szCs w:val="24"/>
                <w:bdr w:val="none" w:color="auto" w:sz="0" w:space="0"/>
                <w:vertAlign w:val="baseline"/>
              </w:rPr>
              <w:t>2.上级主管部门（集团公司）党委（党工委、党组）、董事会相关决策文件；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3.其他相关材料。</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1710" w:hRule="atLeast"/>
        </w:trPr>
        <w:tc>
          <w:tcPr>
            <w:tcW w:w="157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z w:val="24"/>
                <w:szCs w:val="24"/>
                <w:bdr w:val="none" w:color="auto" w:sz="0" w:space="0"/>
                <w:vertAlign w:val="baseline"/>
              </w:rPr>
              <w:t>  责任事项</w:t>
            </w:r>
          </w:p>
        </w:tc>
        <w:tc>
          <w:tcPr>
            <w:tcW w:w="742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1.受理备案；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2.审核备案；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pacing w:val="0"/>
                <w:sz w:val="24"/>
                <w:szCs w:val="24"/>
                <w:bdr w:val="none" w:color="auto" w:sz="0" w:space="0"/>
                <w:vertAlign w:val="baseline"/>
              </w:rPr>
              <w:t>3.告知备案结果。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660" w:hRule="atLeast"/>
        </w:trPr>
        <w:tc>
          <w:tcPr>
            <w:tcW w:w="1575" w:type="dxa"/>
            <w:tcBorders>
              <w:top w:val="single" w:color="auto" w:sz="6" w:space="0"/>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pPr>
            <w:r>
              <w:rPr>
                <w:rFonts w:hint="eastAsia" w:ascii="宋体" w:hAnsi="宋体" w:eastAsia="宋体" w:cs="宋体"/>
                <w:spacing w:val="0"/>
                <w:sz w:val="24"/>
                <w:szCs w:val="24"/>
                <w:bdr w:val="none" w:color="auto" w:sz="0" w:space="0"/>
                <w:vertAlign w:val="baseline"/>
              </w:rPr>
              <w:t>  监督方式</w:t>
            </w:r>
          </w:p>
        </w:tc>
        <w:tc>
          <w:tcPr>
            <w:tcW w:w="7425" w:type="dxa"/>
            <w:tcBorders>
              <w:top w:val="single" w:color="auto" w:sz="6" w:space="0"/>
              <w:left w:val="single" w:color="auto" w:sz="6" w:space="0"/>
              <w:bottom w:val="single" w:color="auto" w:sz="6" w:space="0"/>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pPr>
            <w:r>
              <w:rPr>
                <w:rFonts w:hint="eastAsia" w:ascii="宋体" w:hAnsi="宋体" w:eastAsia="宋体" w:cs="宋体"/>
                <w:sz w:val="24"/>
                <w:szCs w:val="24"/>
                <w:bdr w:val="none" w:color="auto" w:sz="0" w:space="0"/>
                <w:vertAlign w:val="baseline"/>
              </w:rPr>
              <w:fldChar w:fldCharType="begin"/>
            </w:r>
            <w:r>
              <w:rPr>
                <w:rFonts w:hint="eastAsia" w:ascii="宋体" w:hAnsi="宋体" w:eastAsia="宋体" w:cs="宋体"/>
                <w:sz w:val="24"/>
                <w:szCs w:val="24"/>
                <w:bdr w:val="none" w:color="auto" w:sz="0" w:space="0"/>
                <w:vertAlign w:val="baseline"/>
              </w:rPr>
              <w:instrText xml:space="preserve"> HYPERLINK "mailto:dlqgzw02@tj.gov.cn" </w:instrText>
            </w:r>
            <w:r>
              <w:rPr>
                <w:rFonts w:hint="eastAsia" w:ascii="宋体" w:hAnsi="宋体" w:eastAsia="宋体" w:cs="宋体"/>
                <w:sz w:val="24"/>
                <w:szCs w:val="24"/>
                <w:bdr w:val="none" w:color="auto" w:sz="0" w:space="0"/>
                <w:vertAlign w:val="baseline"/>
              </w:rPr>
              <w:fldChar w:fldCharType="separate"/>
            </w:r>
            <w:r>
              <w:rPr>
                <w:rStyle w:val="6"/>
                <w:rFonts w:hint="eastAsia" w:ascii="宋体" w:hAnsi="宋体" w:eastAsia="宋体" w:cs="宋体"/>
                <w:sz w:val="24"/>
                <w:szCs w:val="24"/>
                <w:bdr w:val="none" w:color="auto" w:sz="0" w:space="0"/>
                <w:vertAlign w:val="baseline"/>
              </w:rPr>
              <w:t>dlqgzw03@tj.gov.cn</w:t>
            </w:r>
            <w:r>
              <w:rPr>
                <w:rFonts w:hint="eastAsia" w:ascii="宋体" w:hAnsi="宋体" w:eastAsia="宋体" w:cs="宋体"/>
                <w:sz w:val="24"/>
                <w:szCs w:val="24"/>
                <w:bdr w:val="none" w:color="auto" w:sz="0" w:space="0"/>
                <w:vertAlign w:val="baseline"/>
              </w:rPr>
              <w:fldChar w:fldCharType="end"/>
            </w:r>
            <w:r>
              <w:rPr>
                <w:rFonts w:hint="eastAsia" w:ascii="宋体" w:hAnsi="宋体" w:eastAsia="宋体" w:cs="宋体"/>
                <w:spacing w:val="0"/>
                <w:sz w:val="24"/>
                <w:szCs w:val="24"/>
                <w:bdr w:val="none" w:color="auto" w:sz="0" w:space="0"/>
                <w:vertAlign w:val="baseline"/>
              </w:rPr>
              <w:t>    84376951</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pPr>
      <w:r>
        <w:rPr>
          <w:rFonts w:hint="default" w:ascii="Calibri" w:hAnsi="Calibri" w:cs="Calibri"/>
          <w:sz w:val="24"/>
          <w:szCs w:val="24"/>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center"/>
        <w:textAlignment w:val="baseline"/>
      </w:pPr>
      <w:r>
        <w:rPr>
          <w:bdr w:val="none" w:color="auto" w:sz="0" w:space="0"/>
          <w:vertAlign w:val="baseline"/>
        </w:rPr>
        <w:t>  </w:t>
      </w:r>
      <w:r>
        <w:rPr>
          <w:rFonts w:hint="eastAsia" w:ascii="宋体" w:hAnsi="宋体" w:eastAsia="宋体" w:cs="宋体"/>
          <w:color w:val="616161"/>
          <w:spacing w:val="-15"/>
          <w:sz w:val="31"/>
          <w:szCs w:val="31"/>
          <w:bdr w:val="none" w:color="auto" w:sz="0" w:space="0"/>
          <w:vertAlign w:val="baseline"/>
        </w:rPr>
        <w:t>选人用人事项信息表</w:t>
      </w:r>
    </w:p>
    <w:tbl>
      <w:tblPr>
        <w:tblW w:w="0" w:type="auto"/>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75" w:type="dxa"/>
          <w:left w:w="150" w:type="dxa"/>
          <w:bottom w:w="75" w:type="dxa"/>
          <w:right w:w="150" w:type="dxa"/>
        </w:tblCellMar>
      </w:tblPr>
      <w:tblGrid>
        <w:gridCol w:w="1679"/>
        <w:gridCol w:w="7196"/>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rPr>
          <w:trHeight w:val="585" w:hRule="atLeast"/>
        </w:trPr>
        <w:tc>
          <w:tcPr>
            <w:tcW w:w="169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495" w:right="0" w:firstLine="0"/>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序号</w:t>
            </w:r>
          </w:p>
        </w:tc>
        <w:tc>
          <w:tcPr>
            <w:tcW w:w="730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z w:val="24"/>
                <w:szCs w:val="24"/>
                <w:bdr w:val="none" w:color="auto" w:sz="0" w:space="0"/>
                <w:vertAlign w:val="baseline"/>
              </w:rPr>
              <w:t>13.1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510" w:hRule="atLeast"/>
        </w:trPr>
        <w:tc>
          <w:tcPr>
            <w:tcW w:w="169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495" w:right="0" w:firstLine="0"/>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名称</w:t>
            </w:r>
          </w:p>
        </w:tc>
        <w:tc>
          <w:tcPr>
            <w:tcW w:w="730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z w:val="24"/>
                <w:szCs w:val="24"/>
                <w:bdr w:val="none" w:color="auto" w:sz="0" w:space="0"/>
                <w:vertAlign w:val="baseline"/>
              </w:rPr>
              <w:t>区管企业高层(参照科级管理)、中层管理人员的聘用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1845" w:hRule="atLeast"/>
        </w:trPr>
        <w:tc>
          <w:tcPr>
            <w:tcW w:w="169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  法定依据</w:t>
            </w:r>
          </w:p>
        </w:tc>
        <w:tc>
          <w:tcPr>
            <w:tcW w:w="730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z w:val="24"/>
                <w:szCs w:val="24"/>
                <w:bdr w:val="none" w:color="auto" w:sz="0" w:space="0"/>
                <w:vertAlign w:val="baseline"/>
              </w:rPr>
              <w:t>关于进一步规范区国资监管企业、事业单位出资企业“三重一大”决策工作的指导意见（试行）</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705" w:hRule="atLeast"/>
        </w:trPr>
        <w:tc>
          <w:tcPr>
            <w:tcW w:w="169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  实施机构</w:t>
            </w:r>
          </w:p>
        </w:tc>
        <w:tc>
          <w:tcPr>
            <w:tcW w:w="730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区国资委综合科、党政办公室</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705" w:hRule="atLeast"/>
        </w:trPr>
        <w:tc>
          <w:tcPr>
            <w:tcW w:w="169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  权责边界</w:t>
            </w:r>
          </w:p>
        </w:tc>
        <w:tc>
          <w:tcPr>
            <w:tcW w:w="730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综合科和党政办公室共同审核把关相关材料</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2625" w:hRule="atLeast"/>
        </w:trPr>
        <w:tc>
          <w:tcPr>
            <w:tcW w:w="169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  运行流程</w:t>
            </w:r>
          </w:p>
        </w:tc>
        <w:tc>
          <w:tcPr>
            <w:tcW w:w="730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1.企业提交关于选拔任用或市场化选聘的方案；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2.对企业提交的方案进行审核并提出修改建议；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3.提交党委会审议；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4.审议通过后予以备案。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2820" w:hRule="atLeast"/>
        </w:trPr>
        <w:tc>
          <w:tcPr>
            <w:tcW w:w="169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  运行要件</w:t>
            </w:r>
          </w:p>
        </w:tc>
        <w:tc>
          <w:tcPr>
            <w:tcW w:w="730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1.《东丽区区属国有企业重大事项报告审核（备案）表》；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2.关于选拔任用或市场化选聘的方案；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285" w:right="0" w:hanging="285"/>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3.上级主管部门（集团公司）党委（党工委、党组）、董事会相关决策文件；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4.其他相关材料。</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1935" w:hRule="atLeast"/>
        </w:trPr>
        <w:tc>
          <w:tcPr>
            <w:tcW w:w="1695" w:type="dxa"/>
            <w:tcBorders>
              <w:top w:val="single" w:color="auto" w:sz="6" w:space="0"/>
              <w:left w:val="single" w:color="auto" w:sz="6" w:space="0"/>
              <w:bottom w:val="nil"/>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  责任事项</w:t>
            </w:r>
          </w:p>
        </w:tc>
        <w:tc>
          <w:tcPr>
            <w:tcW w:w="7305" w:type="dxa"/>
            <w:tcBorders>
              <w:top w:val="single" w:color="auto" w:sz="6" w:space="0"/>
              <w:left w:val="single" w:color="auto" w:sz="6" w:space="0"/>
              <w:bottom w:val="nil"/>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1.受理备案；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2.审核备案；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3.告知备案结果。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1590" w:hRule="atLeast"/>
        </w:trPr>
        <w:tc>
          <w:tcPr>
            <w:tcW w:w="1695" w:type="dxa"/>
            <w:tcBorders>
              <w:top w:val="single" w:color="auto" w:sz="6" w:space="0"/>
              <w:left w:val="single" w:color="auto" w:sz="6" w:space="0"/>
              <w:bottom w:val="single" w:color="auto" w:sz="6" w:space="0"/>
              <w:right w:val="nil"/>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0"/>
                <w:sz w:val="24"/>
                <w:szCs w:val="24"/>
                <w:bdr w:val="none" w:color="auto" w:sz="0" w:space="0"/>
                <w:vertAlign w:val="baseline"/>
              </w:rPr>
              <w:t>  监督方式</w:t>
            </w:r>
          </w:p>
        </w:tc>
        <w:tc>
          <w:tcPr>
            <w:tcW w:w="7305" w:type="dxa"/>
            <w:tcBorders>
              <w:top w:val="single" w:color="auto" w:sz="6" w:space="0"/>
              <w:left w:val="single" w:color="auto" w:sz="6" w:space="0"/>
              <w:bottom w:val="single" w:color="auto" w:sz="6" w:space="0"/>
              <w:right w:val="single" w:color="auto" w:sz="6" w:space="0"/>
            </w:tcBorders>
            <w:shd w:val="clear" w:color="auto" w:fill="FFFFFF"/>
            <w:tcMar>
              <w:top w:w="0" w:type="dxa"/>
              <w:left w:w="15" w:type="dxa"/>
              <w:bottom w:w="0" w:type="dxa"/>
              <w:right w:w="1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15"/>
                <w:sz w:val="24"/>
                <w:szCs w:val="24"/>
                <w:bdr w:val="none" w:color="auto" w:sz="0" w:space="0"/>
                <w:vertAlign w:val="baseline"/>
              </w:rPr>
              <w:t>dlqgzw03@tj.gov.cn  84376951（综合科）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left="0" w:right="0" w:firstLine="0"/>
              <w:jc w:val="both"/>
              <w:textAlignment w:val="baseline"/>
              <w:rPr>
                <w:rFonts w:hint="eastAsia" w:asciiTheme="majorEastAsia" w:hAnsiTheme="majorEastAsia" w:eastAsiaTheme="majorEastAsia" w:cstheme="majorEastAsia"/>
              </w:rPr>
            </w:pPr>
            <w:r>
              <w:rPr>
                <w:rFonts w:hint="eastAsia" w:asciiTheme="majorEastAsia" w:hAnsiTheme="majorEastAsia" w:eastAsiaTheme="majorEastAsia" w:cstheme="majorEastAsia"/>
                <w:spacing w:val="15"/>
                <w:sz w:val="24"/>
                <w:szCs w:val="24"/>
                <w:bdr w:val="none" w:color="auto" w:sz="0" w:space="0"/>
                <w:vertAlign w:val="baseline"/>
              </w:rPr>
              <w:t>dlqgzw01@tj.gov.cn  84376649（党政办公室）</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pPr>
      <w:r>
        <w:rPr>
          <w:rFonts w:hint="eastAsia" w:ascii="仿宋_GB2312" w:eastAsia="仿宋_GB2312" w:cs="仿宋_GB2312"/>
          <w:color w:val="616161"/>
          <w:sz w:val="31"/>
          <w:szCs w:val="31"/>
          <w:bdr w:val="none" w:color="auto" w:sz="0" w:space="0"/>
          <w:vertAlign w:val="baseline"/>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val="0"/>
        <w:spacing w:before="0" w:beforeAutospacing="0" w:after="0" w:afterAutospacing="0" w:line="560" w:lineRule="exact"/>
        <w:ind w:left="0" w:right="0"/>
        <w:jc w:val="both"/>
        <w:textAlignment w:val="baseline"/>
      </w:pPr>
      <w:r>
        <w:rPr>
          <w:rFonts w:hint="default" w:ascii="Calibri" w:hAnsi="Calibri" w:cs="Calibri"/>
          <w:sz w:val="24"/>
          <w:szCs w:val="24"/>
          <w:bdr w:val="none" w:color="auto" w:sz="0" w:space="0"/>
          <w:vertAlign w:val="baseline"/>
        </w:rPr>
        <w:t>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kMjFiNDBlM2VhMjcxNDA0MmJmMWRlOTNlMGI4MGUifQ=="/>
  </w:docVars>
  <w:rsids>
    <w:rsidRoot w:val="795A5893"/>
    <w:rsid w:val="795A58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2023-09-07T09:48:00Z</dcterms:created>
  <dc:creator>WPS_1639188646</dc:creator>
  <cp:lastModifiedBy>WPS_1639188646</cp:lastModifiedBy>
  <dcterms:modified xsi:type="dcterms:W3CDTF">2023-09-07T09:57:02Z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ADF6A734FF544B6A8B0D3F57B4D400D4_11</vt:lpwstr>
  </property>
</Properties>
</file>